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2"/>
        </w:rPr>
        <w:t>Beyond Frontier Intelligence</w:t>
      </w:r>
    </w:p>
    <w:p>
      <w:pPr>
        <w:jc w:val="center"/>
      </w:pPr>
      <w:r>
        <w:rPr>
          <w:i/>
          <w:sz w:val="30"/>
        </w:rPr>
        <w:t>Enterprise Domain Judgement, Decision Context, Governed Agency, and the Limits of Long-Horizon LLM Execution</w:t>
      </w:r>
    </w:p>
    <w:p/>
    <w:p>
      <w:pPr>
        <w:jc w:val="center"/>
      </w:pPr>
      <w:r>
        <w:rPr>
          <w:b/>
        </w:rPr>
        <w:t>UnifyOps Research Working Paper 001</w:t>
      </w:r>
    </w:p>
    <w:p>
      <w:pPr>
        <w:jc w:val="center"/>
      </w:pPr>
      <w:r>
        <w:t>Version 0.1 | 7 August 2026</w:t>
      </w:r>
    </w:p>
    <w:p/>
    <w:p>
      <w:pPr>
        <w:jc w:val="center"/>
      </w:pPr>
      <w:r>
        <w:t>Status: exploratory research thesis and problem-characterisation paper</w:t>
      </w:r>
    </w:p>
    <w:p>
      <w:r>
        <w:br w:type="page"/>
      </w:r>
    </w:p>
    <w:p>
      <w:pPr>
        <w:pStyle w:val="Heading1"/>
      </w:pPr>
      <w:r>
        <w:t>Abstract</w:t>
      </w:r>
    </w:p>
    <w:p>
      <w:r>
        <w:t>Frontier large language models have reached a level of capability that makes long-horizon software execution increasingly plausible. Yet practical enterprise use exposes a recurring gap: a model may possess the relevant knowledge, correctly state the applicable constraints, and still fail to exercise the same judgement as an experienced domain expert over a sustained task. This paper develops a research thesis around that gap. It argues that enterprise intelligence is not reducible to general reasoning capability, large context windows, or retrieval alone. Reliable enterprise action requires domain judgement, preservation of decision salience, explicit progress, institutional memory, bounded authority, justified non-action, and evidence-backed execution. The paper further argues that raw execution trajectories - including hypotheses, assumptions, failed attempts, reviewer corrections, and changing confidence - are valuable learning assets that are often discarded when organizations retain only structured outcomes. A robotics analogy is used to clarify the enterprise operating model: organizations do not necessarily want unconstrained autonomous agents; they want highly capable systems that can adapt within a bounded and revocable authority envelope. The proposed research programme therefore focuses first on characterising failure modes, constructing minimum sufficient decision context, preserving learning trajectories, and distinguishing model limitations from runtime, retrieval, governance, and infrastructure limitations before deciding whether deeper model specialization or architectural innovation is required.</w:t>
      </w:r>
    </w:p>
    <w:p>
      <w:pPr>
        <w:pStyle w:val="Heading2"/>
      </w:pPr>
      <w:r>
        <w:t>Keywords</w:t>
      </w:r>
    </w:p>
    <w:p>
      <w:r>
        <w:t>Enterprise AI; long-horizon agents; domain judgement; decision salience; governed autonomy; delegated authority; institutional memory; model specialization; raw execution data; context efficiency; AI governance; robotics analogy.</w:t>
      </w:r>
    </w:p>
    <w:p>
      <w:pPr>
        <w:pStyle w:val="Heading1"/>
      </w:pPr>
      <w:r>
        <w:t>1. Motivation and Origin of the Research Question</w:t>
      </w:r>
    </w:p>
    <w:p>
      <w:r>
        <w:t>The research question emerged from practical work with multiple frontier models during software implementation. Strong models can perform complex reasoning, generate substantial code, and navigate large repositories. However, repeated observations showed that capability alone does not guarantee reliable enterprise behaviour. In long implementation sessions, a model can enter loops, repeat the same reasoning in different language, lose sight of earlier architectural constraints, or continue attempting completion even when the correct action is to stop and escalate.</w:t>
      </w:r>
    </w:p>
    <w:p>
      <w:r>
        <w:t>This led to a broader question: what does intelligence mean inside an enterprise? A general-purpose model may know more than any individual employee, but an experienced domain expert often makes better local judgement because years of organizational experience have compressed into patterns, priorities, precedents, and intuitions about what matters in a specific situation.</w:t>
      </w:r>
    </w:p>
    <w:p>
      <w:r>
        <w:t>The initial practical concern - token cost and context consumption - therefore became a deeper research problem. If stable organizational facts, implementation practices, and domain constraints must be repeatedly rediscovered or reloaded into a frontier model, the system is paying a recurring cognitive and economic tax. The issue is not simply the price per token; it is the size of the reasoning search space.</w:t>
      </w:r>
    </w:p>
    <w:p>
      <w:pPr>
        <w:pStyle w:val="Heading1"/>
      </w:pPr>
      <w:r>
        <w:t>2. Core Thesis: Enterprise Intelligence Is Not General Intelligence</w:t>
      </w:r>
    </w:p>
    <w:p>
      <w:r>
        <w:t>This paper proposes that enterprise intelligence should be defined operationally as the ability to move an organizational objective measurably closer to completion while respecting constraints, preserving accountability, and producing evidence.</w:t>
      </w:r>
    </w:p>
    <w:p>
      <w:r>
        <w:t>Under this definition, intelligence is not merely the ability to produce an answer. It includes the ability to:</w:t>
      </w:r>
    </w:p>
    <w:p>
      <w:pPr>
        <w:pStyle w:val="ListBullet"/>
      </w:pPr>
      <w:r>
        <w:t>recognize which facts are decision-relevant now;</w:t>
      </w:r>
    </w:p>
    <w:p>
      <w:pPr>
        <w:pStyle w:val="ListBullet"/>
      </w:pPr>
      <w:r>
        <w:t>understand why constraints exist, not only that they exist;</w:t>
      </w:r>
    </w:p>
    <w:p>
      <w:pPr>
        <w:pStyle w:val="ListBullet"/>
      </w:pPr>
      <w:r>
        <w:t>preserve uncertainty when evidence is insufficient;</w:t>
      </w:r>
    </w:p>
    <w:p>
      <w:pPr>
        <w:pStyle w:val="ListBullet"/>
      </w:pPr>
      <w:r>
        <w:t>change strategy when progress stalls;</w:t>
      </w:r>
    </w:p>
    <w:p>
      <w:pPr>
        <w:pStyle w:val="ListBullet"/>
      </w:pPr>
      <w:r>
        <w:t>stop when authority is exhausted;</w:t>
      </w:r>
    </w:p>
    <w:p>
      <w:pPr>
        <w:pStyle w:val="ListBullet"/>
      </w:pPr>
      <w:r>
        <w:t>escalate rather than improvise around governance boundaries;</w:t>
      </w:r>
    </w:p>
    <w:p>
      <w:pPr>
        <w:pStyle w:val="ListBullet"/>
      </w:pPr>
      <w:r>
        <w:t>avoid repeating failed approaches already learned by the organization;</w:t>
      </w:r>
    </w:p>
    <w:p>
      <w:pPr>
        <w:pStyle w:val="ListBullet"/>
      </w:pPr>
      <w:r>
        <w:t>produce evidence that permits independent verification.</w:t>
      </w:r>
    </w:p>
    <w:p>
      <w:pPr>
        <w:pStyle w:val="Heading2"/>
      </w:pPr>
      <w:r>
        <w:t>2.1 Knowledge, Constraints, and Judgement</w:t>
      </w:r>
    </w:p>
    <w:p>
      <w:r>
        <w:t>Three different forms of enterprise intelligence should be separated. Domain knowledge contains facts. Domain constraints contain explicit rules and boundaries. Domain judgement is the difficult layer: the ability to weigh history, operational consequences, risk, timing, organizational capability, and precedent to decide what should actually be done.</w:t>
      </w:r>
    </w:p>
    <w:tbl>
      <w:tblPr>
        <w:tblStyle w:val="TableGrid"/>
        <w:tblW w:type="auto" w:w="0"/>
        <w:tblLook w:firstColumn="1" w:firstRow="1" w:lastColumn="0" w:lastRow="0" w:noHBand="0" w:noVBand="1" w:val="04A0"/>
      </w:tblPr>
      <w:tblGrid>
        <w:gridCol w:w="2484"/>
        <w:gridCol w:w="2484"/>
        <w:gridCol w:w="2484"/>
        <w:gridCol w:w="2484"/>
      </w:tblGrid>
      <w:tr>
        <w:tc>
          <w:tcPr>
            <w:tcW w:type="dxa" w:w="2484"/>
          </w:tcPr>
          <w:p>
            <w:r>
              <w:t>Layer</w:t>
            </w:r>
          </w:p>
        </w:tc>
        <w:tc>
          <w:tcPr>
            <w:tcW w:type="dxa" w:w="2484"/>
          </w:tcPr>
          <w:p>
            <w:r>
              <w:t>Example</w:t>
            </w:r>
          </w:p>
        </w:tc>
        <w:tc>
          <w:tcPr>
            <w:tcW w:type="dxa" w:w="2484"/>
          </w:tcPr>
          <w:p>
            <w:r>
              <w:t>Typical Representation</w:t>
            </w:r>
          </w:p>
        </w:tc>
        <w:tc>
          <w:tcPr>
            <w:tcW w:type="dxa" w:w="2484"/>
          </w:tcPr>
          <w:p>
            <w:r>
              <w:t>Risk if Missing</w:t>
            </w:r>
          </w:p>
        </w:tc>
      </w:tr>
      <w:tr>
        <w:tc>
          <w:tcPr>
            <w:tcW w:type="dxa" w:w="2484"/>
          </w:tcPr>
          <w:p>
            <w:r>
              <w:t>Knowledge</w:t>
            </w:r>
          </w:p>
        </w:tc>
        <w:tc>
          <w:tcPr>
            <w:tcW w:type="dxa" w:w="2484"/>
          </w:tcPr>
          <w:p>
            <w:r>
              <w:t>JDK 17; service ownership; data residency</w:t>
            </w:r>
          </w:p>
        </w:tc>
        <w:tc>
          <w:tcPr>
            <w:tcW w:type="dxa" w:w="2484"/>
          </w:tcPr>
          <w:p>
            <w:r>
              <w:t>Docs, code, graph, retrieval</w:t>
            </w:r>
          </w:p>
        </w:tc>
        <w:tc>
          <w:tcPr>
            <w:tcW w:type="dxa" w:w="2484"/>
          </w:tcPr>
          <w:p>
            <w:r>
              <w:t>Wrong assumptions</w:t>
            </w:r>
          </w:p>
        </w:tc>
      </w:tr>
      <w:tr>
        <w:tc>
          <w:tcPr>
            <w:tcW w:type="dxa" w:w="2484"/>
          </w:tcPr>
          <w:p>
            <w:r>
              <w:t>Constraints</w:t>
            </w:r>
          </w:p>
        </w:tc>
        <w:tc>
          <w:tcPr>
            <w:tcW w:type="dxa" w:w="2484"/>
          </w:tcPr>
          <w:p>
            <w:r>
              <w:t>No schema change; security review required</w:t>
            </w:r>
          </w:p>
        </w:tc>
        <w:tc>
          <w:tcPr>
            <w:tcW w:type="dxa" w:w="2484"/>
          </w:tcPr>
          <w:p>
            <w:r>
              <w:t>Policy, ADR, contract</w:t>
            </w:r>
          </w:p>
        </w:tc>
        <w:tc>
          <w:tcPr>
            <w:tcW w:type="dxa" w:w="2484"/>
          </w:tcPr>
          <w:p>
            <w:r>
              <w:t>Unauthorized action</w:t>
            </w:r>
          </w:p>
        </w:tc>
      </w:tr>
      <w:tr>
        <w:tc>
          <w:tcPr>
            <w:tcW w:type="dxa" w:w="2484"/>
          </w:tcPr>
          <w:p>
            <w:r>
              <w:t>Judgement</w:t>
            </w:r>
          </w:p>
        </w:tc>
        <w:tc>
          <w:tcPr>
            <w:tcW w:type="dxa" w:w="2484"/>
          </w:tcPr>
          <w:p>
            <w:r>
              <w:t>Technically valid option should still be avoided</w:t>
            </w:r>
          </w:p>
        </w:tc>
        <w:tc>
          <w:tcPr>
            <w:tcW w:type="dxa" w:w="2484"/>
          </w:tcPr>
          <w:p>
            <w:r>
              <w:t>Experience, precedent, rationale</w:t>
            </w:r>
          </w:p>
        </w:tc>
        <w:tc>
          <w:tcPr>
            <w:tcW w:type="dxa" w:w="2484"/>
          </w:tcPr>
          <w:p>
            <w:r>
              <w:t>Poor decision despite compliance</w:t>
            </w:r>
          </w:p>
        </w:tc>
      </w:tr>
    </w:tbl>
    <w:p>
      <w:pPr>
        <w:pStyle w:val="Heading1"/>
      </w:pPr>
      <w:r>
        <w:t>3. The Context Paradox: Availability Does Not Equal Effective Understanding</w:t>
      </w:r>
    </w:p>
    <w:p>
      <w:r>
        <w:t>A large context window can contain the correct information without guaranteeing that the model will use the correct information at the critical moment. In long-running work, relevant facts compete with repository content, tool output, previous attempts, test failures, summaries, plans, and conversational history.</w:t>
      </w:r>
    </w:p>
    <w:p>
      <w:r>
        <w:t>The resulting failure should not automatically be labelled as lack of knowledge. Several mechanisms may produce the same observed behaviour: the fact may be absent, retrieval may fail, context construction may bury it, salience may degrade, the model may prioritize completion over constraint adherence, or the surrounding agent loop may reinforce a bad hypothesis.</w:t>
      </w:r>
    </w:p>
    <w:p>
      <w:pPr>
        <w:pStyle w:val="Heading2"/>
      </w:pPr>
      <w:r>
        <w:t>3.1 Decision Salience</w:t>
      </w:r>
    </w:p>
    <w:p>
      <w:r>
        <w:t>Decision salience is the degree to which the information that should dominate a specific judgement remains active and influential when the action is selected. The research hypothesis is that some long-context failures are not memory failures but salience failures.</w:t>
      </w:r>
    </w:p>
    <w:p>
      <w:pPr>
        <w:pStyle w:val="Heading2"/>
      </w:pPr>
      <w:r>
        <w:t>3.2 Minimum Sufficient Decision Context</w:t>
      </w:r>
    </w:p>
    <w:p>
      <w:r>
        <w:t>Instead of maximizing context, the system should construct the minimum sufficient decision context: the smallest set of current facts, relevant precedents, constraints, rationale, authority, expected evidence, and unresolved uncertainty required to make a particular decision reliably.</w:t>
      </w:r>
    </w:p>
    <w:p>
      <w:r>
        <w:t>A proposed decision envelope contains:</w:t>
      </w:r>
    </w:p>
    <w:p>
      <w:pPr>
        <w:pStyle w:val="ListBullet"/>
      </w:pPr>
      <w:r>
        <w:t>objective and current state;</w:t>
      </w:r>
    </w:p>
    <w:p>
      <w:pPr>
        <w:pStyle w:val="ListBullet"/>
      </w:pPr>
      <w:r>
        <w:t>applicable constraints and their rationale;</w:t>
      </w:r>
    </w:p>
    <w:p>
      <w:pPr>
        <w:pStyle w:val="ListBullet"/>
      </w:pPr>
      <w:r>
        <w:t>relevant historical precedents and known failure modes;</w:t>
      </w:r>
    </w:p>
    <w:p>
      <w:pPr>
        <w:pStyle w:val="ListBullet"/>
      </w:pPr>
      <w:r>
        <w:t>delegated authority and explicitly prohibited actions;</w:t>
      </w:r>
    </w:p>
    <w:p>
      <w:pPr>
        <w:pStyle w:val="ListBullet"/>
      </w:pPr>
      <w:r>
        <w:t>expected evidence and acceptance criteria;</w:t>
      </w:r>
    </w:p>
    <w:p>
      <w:pPr>
        <w:pStyle w:val="ListBullet"/>
      </w:pPr>
      <w:r>
        <w:t>uncertainties that require escalation.</w:t>
      </w:r>
    </w:p>
    <w:p>
      <w:pPr>
        <w:pStyle w:val="Heading1"/>
      </w:pPr>
      <w:r>
        <w:t>4. Reasoning Is Not the Same as Progress</w:t>
      </w:r>
    </w:p>
    <w:p>
      <w:r>
        <w:t>A recurring long-horizon failure is the appearance of continued reasoning without measurable implementation progress. A model may restate the same concern, revisit the same file, or produce semantically equivalent recommendations while the objective state remains unchanged.</w:t>
      </w:r>
    </w:p>
    <w:p>
      <w:r>
        <w:t>This suggests that autonomous execution requires an explicit model of progress outside the language stream. A runtime should track objective state, evidence gained, knowledge delta, risk reduced, unresolved uncertainty, and remaining work. If several iterations produce no meaningful state transition, continued generation should not be interpreted as productive reasoning.</w:t>
      </w:r>
    </w:p>
    <w:p>
      <w:r>
        <w:t>A key research proposition is therefore: continue while measurable progress exists; otherwise change strategy, request evidence, escalate, or stop.</w:t>
      </w:r>
    </w:p>
    <w:p>
      <w:pPr>
        <w:pStyle w:val="Heading1"/>
      </w:pPr>
      <w:r>
        <w:t>5. Task-Completion Bias and the Need for Justified Non-Action</w:t>
      </w:r>
    </w:p>
    <w:p>
      <w:r>
        <w:t>General assistants are strongly shaped to be useful and responsive. In enterprise execution, that can appear as an eagerness to solve the problem at almost any cost. The system invents assumptions, expands scope, weakens architecture, or repeatedly patches symptoms because completion is implicitly treated as the primary success condition.</w:t>
      </w:r>
    </w:p>
    <w:p>
      <w:r>
        <w:t>Enterprise success must instead include justified non-action. Refusal, escalation, deferral, and stop conditions can represent correct outcomes when evidence, authority, or scope is insufficient.</w:t>
      </w:r>
    </w:p>
    <w:p>
      <w:r>
        <w:t>Useful first-class outcomes include:</w:t>
      </w:r>
    </w:p>
    <w:p>
      <w:pPr>
        <w:pStyle w:val="ListBullet"/>
      </w:pPr>
      <w:r>
        <w:t>EXECUTE</w:t>
      </w:r>
    </w:p>
    <w:p>
      <w:pPr>
        <w:pStyle w:val="ListBullet"/>
      </w:pPr>
      <w:r>
        <w:t>ESCALATE</w:t>
      </w:r>
    </w:p>
    <w:p>
      <w:pPr>
        <w:pStyle w:val="ListBullet"/>
      </w:pPr>
      <w:r>
        <w:t>DEFER</w:t>
      </w:r>
    </w:p>
    <w:p>
      <w:pPr>
        <w:pStyle w:val="ListBullet"/>
      </w:pPr>
      <w:r>
        <w:t>REQUEST_EVIDENCE</w:t>
      </w:r>
    </w:p>
    <w:p>
      <w:pPr>
        <w:pStyle w:val="ListBullet"/>
      </w:pPr>
      <w:r>
        <w:t>STOP_NO_PROGRESS</w:t>
      </w:r>
    </w:p>
    <w:p>
      <w:pPr>
        <w:pStyle w:val="ListBullet"/>
      </w:pPr>
      <w:r>
        <w:t>STOP_SCOPE_CONFLICT</w:t>
      </w:r>
    </w:p>
    <w:p>
      <w:pPr>
        <w:pStyle w:val="ListBullet"/>
      </w:pPr>
      <w:r>
        <w:t>STOP_POLICY_CONFLICT</w:t>
      </w:r>
    </w:p>
    <w:p>
      <w:pPr>
        <w:pStyle w:val="Heading1"/>
      </w:pPr>
      <w:r>
        <w:t>6. Raw Execution Data as a Learning Asset</w:t>
      </w:r>
    </w:p>
    <w:p>
      <w:r>
        <w:t>Organizations naturally favour structured data because it is easier to query, govern, measure, and report. However, structured outcomes often preserve the destination while discarding the journey that produced it.</w:t>
      </w:r>
    </w:p>
    <w:p>
      <w:r>
        <w:t>The research thesis is that raw exploratory data has exceptional value when paired with eventual outcomes. Hypotheses, assumptions, abandoned approaches, failed implementations, reviewer disagreements, test failures, confidence changes, and reasons for rejection reveal causal learning that final code or approved documentation alone cannot reconstruct.</w:t>
      </w:r>
    </w:p>
    <w:p>
      <w:r>
        <w:t>The proposed knowledge progression is:</w:t>
      </w:r>
    </w:p>
    <w:p>
      <w:pPr>
        <w:jc w:val="center"/>
      </w:pPr>
      <w:r>
        <w:rPr>
          <w:b/>
        </w:rPr>
        <w:t>Raw Exploration  -&gt;  Validated Reasoning  -&gt;  Canonical Knowledge</w:t>
      </w:r>
    </w:p>
    <w:p>
      <w:pPr>
        <w:pStyle w:val="Heading2"/>
      </w:pPr>
      <w:r>
        <w:t>6.1 Execution Episodes</w:t>
      </w:r>
    </w:p>
    <w:p>
      <w:r>
        <w:t>Rather than treating chat transcripts as the primary dataset, the recommended unit of learning is an execution episode. An episode links the objective and constraints to the reasoning trajectory, actions, evidence, corrections, and final outcome.</w:t>
      </w:r>
    </w:p>
    <w:p>
      <w:pPr>
        <w:pStyle w:val="ListBullet"/>
      </w:pPr>
      <w:r>
        <w:t>Intent and acceptance criteria</w:t>
      </w:r>
    </w:p>
    <w:p>
      <w:pPr>
        <w:pStyle w:val="ListBullet"/>
      </w:pPr>
      <w:r>
        <w:t>Repository/system state</w:t>
      </w:r>
    </w:p>
    <w:p>
      <w:pPr>
        <w:pStyle w:val="ListBullet"/>
      </w:pPr>
      <w:r>
        <w:t>Relevant constraints and authority</w:t>
      </w:r>
    </w:p>
    <w:p>
      <w:pPr>
        <w:pStyle w:val="ListBullet"/>
      </w:pPr>
      <w:r>
        <w:t>Hypotheses and assumptions</w:t>
      </w:r>
    </w:p>
    <w:p>
      <w:pPr>
        <w:pStyle w:val="ListBullet"/>
      </w:pPr>
      <w:r>
        <w:t>Implementation attempts</w:t>
      </w:r>
    </w:p>
    <w:p>
      <w:pPr>
        <w:pStyle w:val="ListBullet"/>
      </w:pPr>
      <w:r>
        <w:t>Tool calls and observations</w:t>
      </w:r>
    </w:p>
    <w:p>
      <w:pPr>
        <w:pStyle w:val="ListBullet"/>
      </w:pPr>
      <w:r>
        <w:t>Compile/test/evaluation evidence</w:t>
      </w:r>
    </w:p>
    <w:p>
      <w:pPr>
        <w:pStyle w:val="ListBullet"/>
      </w:pPr>
      <w:r>
        <w:t>Reviewer findings</w:t>
      </w:r>
    </w:p>
    <w:p>
      <w:pPr>
        <w:pStyle w:val="ListBullet"/>
      </w:pPr>
      <w:r>
        <w:t>Corrections and rejected alternatives</w:t>
      </w:r>
    </w:p>
    <w:p>
      <w:pPr>
        <w:pStyle w:val="ListBullet"/>
      </w:pPr>
      <w:r>
        <w:t>Final outcome and lessons learned</w:t>
      </w:r>
    </w:p>
    <w:p>
      <w:pPr>
        <w:pStyle w:val="Heading1"/>
      </w:pPr>
      <w:r>
        <w:t>7. Stable Knowledge, Runtime Knowledge, and Model Specialization</w:t>
      </w:r>
    </w:p>
    <w:p>
      <w:r>
        <w:t>A general frontier model repeatedly spends context understanding facts that may be stable within an enterprise: language/runtime version, approved frameworks, architectural boundaries, testing conventions, security requirements, and implementation practices.</w:t>
      </w:r>
    </w:p>
    <w:p>
      <w:r>
        <w:t>This creates an efficiency argument for specialization. Stable implementation knowledge may be encoded in instructions or eventually learned model priors, while changing project knowledge should remain external and be supplied dynamically by an intelligence layer.</w:t>
      </w:r>
    </w:p>
    <w:tbl>
      <w:tblPr>
        <w:tblStyle w:val="TableGrid"/>
        <w:tblW w:type="auto" w:w="0"/>
        <w:tblLook w:firstColumn="1" w:firstRow="1" w:lastColumn="0" w:lastRow="0" w:noHBand="0" w:noVBand="1" w:val="04A0"/>
      </w:tblPr>
      <w:tblGrid>
        <w:gridCol w:w="3312"/>
        <w:gridCol w:w="3312"/>
        <w:gridCol w:w="3312"/>
      </w:tblGrid>
      <w:tr>
        <w:tc>
          <w:tcPr>
            <w:tcW w:type="dxa" w:w="3312"/>
          </w:tcPr>
          <w:p>
            <w:r>
              <w:t>Knowledge Type</w:t>
            </w:r>
          </w:p>
        </w:tc>
        <w:tc>
          <w:tcPr>
            <w:tcW w:type="dxa" w:w="3312"/>
          </w:tcPr>
          <w:p>
            <w:r>
              <w:t>Preferred Location</w:t>
            </w:r>
          </w:p>
        </w:tc>
        <w:tc>
          <w:tcPr>
            <w:tcW w:type="dxa" w:w="3312"/>
          </w:tcPr>
          <w:p>
            <w:r>
              <w:t>Examples</w:t>
            </w:r>
          </w:p>
        </w:tc>
      </w:tr>
      <w:tr>
        <w:tc>
          <w:tcPr>
            <w:tcW w:type="dxa" w:w="3312"/>
          </w:tcPr>
          <w:p>
            <w:r>
              <w:t>Stable implementation knowledge</w:t>
            </w:r>
          </w:p>
        </w:tc>
        <w:tc>
          <w:tcPr>
            <w:tcW w:type="dxa" w:w="3312"/>
          </w:tcPr>
          <w:p>
            <w:r>
              <w:t>Instructions / specialization</w:t>
            </w:r>
          </w:p>
        </w:tc>
        <w:tc>
          <w:tcPr>
            <w:tcW w:type="dxa" w:w="3312"/>
          </w:tcPr>
          <w:p>
            <w:r>
              <w:t>JDK 17, architecture rules, testing discipline</w:t>
            </w:r>
          </w:p>
        </w:tc>
      </w:tr>
      <w:tr>
        <w:tc>
          <w:tcPr>
            <w:tcW w:type="dxa" w:w="3312"/>
          </w:tcPr>
          <w:p>
            <w:r>
              <w:t>Changing enterprise knowledge</w:t>
            </w:r>
          </w:p>
        </w:tc>
        <w:tc>
          <w:tcPr>
            <w:tcW w:type="dxa" w:w="3312"/>
          </w:tcPr>
          <w:p>
            <w:r>
              <w:t>Runtime intelligence</w:t>
            </w:r>
          </w:p>
        </w:tc>
        <w:tc>
          <w:tcPr>
            <w:tcW w:type="dxa" w:w="3312"/>
          </w:tcPr>
          <w:p>
            <w:r>
              <w:t>Current code, latest ADR, dependency graph</w:t>
            </w:r>
          </w:p>
        </w:tc>
      </w:tr>
      <w:tr>
        <w:tc>
          <w:tcPr>
            <w:tcW w:type="dxa" w:w="3312"/>
          </w:tcPr>
          <w:p>
            <w:r>
              <w:t>Non-negotiable authority</w:t>
            </w:r>
          </w:p>
        </w:tc>
        <w:tc>
          <w:tcPr>
            <w:tcW w:type="dxa" w:w="3312"/>
          </w:tcPr>
          <w:p>
            <w:r>
              <w:t>Deterministic governance</w:t>
            </w:r>
          </w:p>
        </w:tc>
        <w:tc>
          <w:tcPr>
            <w:tcW w:type="dxa" w:w="3312"/>
          </w:tcPr>
          <w:p>
            <w:r>
              <w:t>Policy, capability lease, budget, approvals</w:t>
            </w:r>
          </w:p>
        </w:tc>
      </w:tr>
    </w:tbl>
    <w:p>
      <w:r>
        <w:t>The target is not necessarily a model that is globally smarter than a frontier model. A commercially meaningful win could be a smaller specialized model that requires materially less context, fewer retries, and fewer reviewer corrections for a defined enterprise workload.</w:t>
      </w:r>
    </w:p>
    <w:p>
      <w:pPr>
        <w:pStyle w:val="Heading1"/>
      </w:pPr>
      <w:r>
        <w:t>8. The Model Is Only One Component of the Intelligent System</w:t>
      </w:r>
    </w:p>
    <w:p>
      <w:r>
        <w:t>The discussion leads to a broader architectural possibility: intelligence may be distributed across a neural model, symbolic constraints, external memory, enterprise knowledge, and a governed execution runtime. The neural model handles ambiguity, synthesis, and uncertain reasoning; deterministic mechanisms enforce invariants; episodic memory preserves organizational experience.</w:t>
      </w:r>
    </w:p>
    <w:p>
      <w:r>
        <w:t>This view is compatible with a neuro-symbolic direction without prematurely concluding that a new model architecture is required. The research sequence should determine which failures can be solved by better instructions, retrieval, context construction, runtime state, fine-tuning, or governance before attributing them to the transformer itself.</w:t>
      </w:r>
    </w:p>
    <w:p>
      <w:pPr>
        <w:pStyle w:val="Heading1"/>
      </w:pPr>
      <w:r>
        <w:t>9. Infrastructure Is Part of the Research Problem</w:t>
      </w:r>
    </w:p>
    <w:p>
      <w:r>
        <w:t>Model research eventually encounters infrastructure limits: VRAM, memory bandwidth, context length, batch size, optimizer state, interconnect, storage throughput, evaluation capacity, power, cooling, and experiment cost. These are not merely operational concerns because infrastructure constraints can alter the experiment itself.</w:t>
      </w:r>
    </w:p>
    <w:p>
      <w:r>
        <w:t>The practical principle is to design the smallest experiment capable of falsifying a hypothesis, then scale only when evidence justifies additional compute.</w:t>
      </w:r>
    </w:p>
    <w:p>
      <w:pPr>
        <w:pStyle w:val="Heading1"/>
      </w:pPr>
      <w:r>
        <w:t>10. From Autonomous Agents to Delegated Agency</w:t>
      </w:r>
    </w:p>
    <w:p>
      <w:r>
        <w:t>The discussion ultimately challenges the term autonomous agent as the primary enterprise objective. Organizations frequently want the benefits of independent execution while retaining sovereignty over authority, risk, policy, and irreversible actions.</w:t>
      </w:r>
    </w:p>
    <w:p>
      <w:r>
        <w:t>Autonomy and authority should therefore be treated as separate dimensions. A system can have high autonomy inside narrow authority, or low autonomy while possessing dangerously broad authority. Enterprise governance should focus on delegated authority rather than autonomy alone.</w:t>
      </w:r>
    </w:p>
    <w:p>
      <w:r>
        <w:t>The preferred operating concept is delegated agency within explicit, revocable authority: the enterprise defines the objective and operating envelope; the AI decides how to progress inside it; the runtime enforces the boundary; evidence and escalation preserve accountability.</w:t>
      </w:r>
    </w:p>
    <w:p>
      <w:pPr>
        <w:pStyle w:val="Heading1"/>
      </w:pPr>
      <w:r>
        <w:t>11. Robotics Analogy: The Enterprise AI Work Cell</w:t>
      </w:r>
    </w:p>
    <w:p>
      <w:r>
        <w:t>Industrial robotics provides a useful analogy. A traditional robot can operate independently for long periods while remaining bounded by a defined action space. It does not reinterpret the business objective simply because another path appears easier. Safety is achieved partly by constraining what actions are physically or logically possible rather than trusting the controller to make a perfect decision every time.</w:t>
      </w:r>
    </w:p>
    <w:p>
      <w:r>
        <w:t>Enterprise AI can be understood similarly. The work cell is no longer physical; it is a logical envelope composed of repositories, APIs, data, tools, budgets, workflows, policies, and approval boundaries.</w:t>
      </w:r>
    </w:p>
    <w:p>
      <w:r>
        <w:t>The autonomy spectrum can be represented as:</w:t>
      </w:r>
    </w:p>
    <w:p>
      <w:pPr>
        <w:pStyle w:val="ListBullet"/>
      </w:pPr>
      <w:r>
        <w:t>Automation - repeatable programmed action.</w:t>
      </w:r>
    </w:p>
    <w:p>
      <w:pPr>
        <w:pStyle w:val="ListBullet"/>
      </w:pPr>
      <w:r>
        <w:t>Bounded autonomy - choose among permitted actions inside a defined envelope.</w:t>
      </w:r>
    </w:p>
    <w:p>
      <w:pPr>
        <w:pStyle w:val="ListBullet"/>
      </w:pPr>
      <w:r>
        <w:t>Adaptive autonomy - change strategy using evidence while preserving boundaries.</w:t>
      </w:r>
    </w:p>
    <w:p>
      <w:pPr>
        <w:pStyle w:val="ListBullet"/>
      </w:pPr>
      <w:r>
        <w:t>Open-ended autonomy - redefine plans, assumptions, or objectives.</w:t>
      </w:r>
    </w:p>
    <w:p>
      <w:r>
        <w:t>The research conclusion is that enterprises are likely to prefer the middle of this spectrum: highly capable adaptive systems with strong boundaries, not unconstrained independent agents.</w:t>
      </w:r>
    </w:p>
    <w:p>
      <w:pPr>
        <w:jc w:val="center"/>
      </w:pPr>
      <w:r>
        <w:rPr>
          <w:b/>
        </w:rPr>
        <w:t>Enterprise intent -&gt; delegated authority -&gt; bounded adaptive execution -&gt; evidence -&gt; escalation at the boundary</w:t>
      </w:r>
    </w:p>
    <w:p>
      <w:pPr>
        <w:pStyle w:val="Heading1"/>
      </w:pPr>
      <w:r>
        <w:t>12. Research Hypotheses</w:t>
      </w:r>
    </w:p>
    <w:tbl>
      <w:tblPr>
        <w:tblStyle w:val="TableGrid"/>
        <w:tblW w:type="auto" w:w="0"/>
        <w:tblLook w:firstColumn="1" w:firstRow="1" w:lastColumn="0" w:lastRow="0" w:noHBand="0" w:noVBand="1" w:val="04A0"/>
      </w:tblPr>
      <w:tblGrid>
        <w:gridCol w:w="4968"/>
        <w:gridCol w:w="4968"/>
      </w:tblGrid>
      <w:tr>
        <w:tc>
          <w:tcPr>
            <w:tcW w:type="dxa" w:w="4968"/>
          </w:tcPr>
          <w:p>
            <w:r>
              <w:t>ID</w:t>
            </w:r>
          </w:p>
        </w:tc>
        <w:tc>
          <w:tcPr>
            <w:tcW w:type="dxa" w:w="4968"/>
          </w:tcPr>
          <w:p>
            <w:r>
              <w:t>Hypothesis</w:t>
            </w:r>
          </w:p>
        </w:tc>
      </w:tr>
      <w:tr>
        <w:tc>
          <w:tcPr>
            <w:tcW w:type="dxa" w:w="4968"/>
          </w:tcPr>
          <w:p>
            <w:r>
              <w:t>H1</w:t>
            </w:r>
          </w:p>
        </w:tc>
        <w:tc>
          <w:tcPr>
            <w:tcW w:type="dxa" w:w="4968"/>
          </w:tcPr>
          <w:p>
            <w:r>
              <w:t>Long-context autonomous failures are partly caused by degradation of decision-relevant salience rather than absence of information.</w:t>
            </w:r>
          </w:p>
        </w:tc>
      </w:tr>
      <w:tr>
        <w:tc>
          <w:tcPr>
            <w:tcW w:type="dxa" w:w="4968"/>
          </w:tcPr>
          <w:p>
            <w:r>
              <w:t>H2</w:t>
            </w:r>
          </w:p>
        </w:tc>
        <w:tc>
          <w:tcPr>
            <w:tcW w:type="dxa" w:w="4968"/>
          </w:tcPr>
          <w:p>
            <w:r>
              <w:t>A dynamically reconstructed minimum sufficient decision context can improve judgement while reducing token consumption.</w:t>
            </w:r>
          </w:p>
        </w:tc>
      </w:tr>
      <w:tr>
        <w:tc>
          <w:tcPr>
            <w:tcW w:type="dxa" w:w="4968"/>
          </w:tcPr>
          <w:p>
            <w:r>
              <w:t>H3</w:t>
            </w:r>
          </w:p>
        </w:tc>
        <w:tc>
          <w:tcPr>
            <w:tcW w:type="dxa" w:w="4968"/>
          </w:tcPr>
          <w:p>
            <w:r>
              <w:t>Explicit progress/state tracking reduces repetitive reasoning loops in long-horizon execution.</w:t>
            </w:r>
          </w:p>
        </w:tc>
      </w:tr>
      <w:tr>
        <w:tc>
          <w:tcPr>
            <w:tcW w:type="dxa" w:w="4968"/>
          </w:tcPr>
          <w:p>
            <w:r>
              <w:t>H4</w:t>
            </w:r>
          </w:p>
        </w:tc>
        <w:tc>
          <w:tcPr>
            <w:tcW w:type="dxa" w:w="4968"/>
          </w:tcPr>
          <w:p>
            <w:r>
              <w:t>Frontier models are over-optimized for task completion and under-optimized for justified non-action.</w:t>
            </w:r>
          </w:p>
        </w:tc>
      </w:tr>
      <w:tr>
        <w:tc>
          <w:tcPr>
            <w:tcW w:type="dxa" w:w="4968"/>
          </w:tcPr>
          <w:p>
            <w:r>
              <w:t>H5</w:t>
            </w:r>
          </w:p>
        </w:tc>
        <w:tc>
          <w:tcPr>
            <w:tcW w:type="dxa" w:w="4968"/>
          </w:tcPr>
          <w:p>
            <w:r>
              <w:t>Raw execution trajectories paired with validated outcomes provide higher-value enterprise learning signals than final structured outcomes alone.</w:t>
            </w:r>
          </w:p>
        </w:tc>
      </w:tr>
      <w:tr>
        <w:tc>
          <w:tcPr>
            <w:tcW w:type="dxa" w:w="4968"/>
          </w:tcPr>
          <w:p>
            <w:r>
              <w:t>H6</w:t>
            </w:r>
          </w:p>
        </w:tc>
        <w:tc>
          <w:tcPr>
            <w:tcW w:type="dxa" w:w="4968"/>
          </w:tcPr>
          <w:p>
            <w:r>
              <w:t>A specialized implementation model can outperform a larger general model on governed enterprise work by reducing search space, context requirements, and correction cycles.</w:t>
            </w:r>
          </w:p>
        </w:tc>
      </w:tr>
      <w:tr>
        <w:tc>
          <w:tcPr>
            <w:tcW w:type="dxa" w:w="4968"/>
          </w:tcPr>
          <w:p>
            <w:r>
              <w:t>H7</w:t>
            </w:r>
          </w:p>
        </w:tc>
        <w:tc>
          <w:tcPr>
            <w:tcW w:type="dxa" w:w="4968"/>
          </w:tcPr>
          <w:p>
            <w:r>
              <w:t>Enterprise resistance to autonomous AI is driven less by autonomy itself than by uncertainty about delegated authority, accountability, reversibility, and evidence.</w:t>
            </w:r>
          </w:p>
        </w:tc>
      </w:tr>
      <w:tr>
        <w:tc>
          <w:tcPr>
            <w:tcW w:type="dxa" w:w="4968"/>
          </w:tcPr>
          <w:p>
            <w:r>
              <w:t>H8</w:t>
            </w:r>
          </w:p>
        </w:tc>
        <w:tc>
          <w:tcPr>
            <w:tcW w:type="dxa" w:w="4968"/>
          </w:tcPr>
          <w:p>
            <w:r>
              <w:t>For enterprise work, reliable intelligence emerges from the combined system - model, memory, decision context, deterministic governance, and infrastructure - rather than from the model alone.</w:t>
            </w:r>
          </w:p>
        </w:tc>
      </w:tr>
    </w:tbl>
    <w:p>
      <w:pPr>
        <w:pStyle w:val="Heading1"/>
      </w:pPr>
      <w:r>
        <w:t>13. Proposed Failure Characterisation Framework</w:t>
      </w:r>
    </w:p>
    <w:p>
      <w:r>
        <w:t>Every meaningful failure should be recorded using a common schema:</w:t>
      </w:r>
    </w:p>
    <w:p>
      <w:pPr>
        <w:pStyle w:val="ListBullet"/>
      </w:pPr>
      <w:r>
        <w:t>Observation - what happened?</w:t>
      </w:r>
    </w:p>
    <w:p>
      <w:pPr>
        <w:pStyle w:val="ListBullet"/>
      </w:pPr>
      <w:r>
        <w:t>Expected behaviour - what would an experienced domain expert have done?</w:t>
      </w:r>
    </w:p>
    <w:p>
      <w:pPr>
        <w:pStyle w:val="ListBullet"/>
      </w:pPr>
      <w:r>
        <w:t>Available information - did the model actually have enough information?</w:t>
      </w:r>
    </w:p>
    <w:p>
      <w:pPr>
        <w:pStyle w:val="ListBullet"/>
      </w:pPr>
      <w:r>
        <w:t>Failure point - where did behaviour diverge?</w:t>
      </w:r>
    </w:p>
    <w:p>
      <w:pPr>
        <w:pStyle w:val="ListBullet"/>
      </w:pPr>
      <w:r>
        <w:t>Candidate causes - knowledge, retrieval, salience, reasoning, judgement, completion bias, loop dynamics, infrastructure.</w:t>
      </w:r>
    </w:p>
    <w:p>
      <w:pPr>
        <w:pStyle w:val="ListBullet"/>
      </w:pPr>
      <w:r>
        <w:t>Evidence - what supports or contradicts each explanation?</w:t>
      </w:r>
    </w:p>
    <w:p>
      <w:pPr>
        <w:pStyle w:val="ListBullet"/>
      </w:pPr>
      <w:r>
        <w:t>Mitigation test - can instructions, retrieval, runtime controls, fine-tuning, or model changes solve it?</w:t>
      </w:r>
    </w:p>
    <w:p>
      <w:pPr>
        <w:pStyle w:val="ListBullet"/>
      </w:pPr>
      <w:r>
        <w:t>Status - observation, hypothesis, validated, rejected, or unresolved.</w:t>
      </w:r>
    </w:p>
    <w:p>
      <w:pPr>
        <w:pStyle w:val="Heading1"/>
      </w:pPr>
      <w:r>
        <w:t>14. Experimental Programme</w:t>
      </w:r>
    </w:p>
    <w:p>
      <w:r>
        <w:t>The immediate goal is not to build a new model. It is to discover and filter the problem rigorously. Experiments should compare failures and successful counterexamples across multiple models and task types.</w:t>
      </w:r>
    </w:p>
    <w:p>
      <w:r>
        <w:t>Initial metrics:</w:t>
      </w:r>
    </w:p>
    <w:p>
      <w:pPr>
        <w:pStyle w:val="ListBullet"/>
      </w:pPr>
      <w:r>
        <w:t>context consumed per successfully completed PR;</w:t>
      </w:r>
    </w:p>
    <w:p>
      <w:pPr>
        <w:pStyle w:val="ListBullet"/>
      </w:pPr>
      <w:r>
        <w:t>number of implementation retries;</w:t>
      </w:r>
    </w:p>
    <w:p>
      <w:pPr>
        <w:pStyle w:val="ListBullet"/>
      </w:pPr>
      <w:r>
        <w:t>number and severity of reviewer corrections;</w:t>
      </w:r>
    </w:p>
    <w:p>
      <w:pPr>
        <w:pStyle w:val="ListBullet"/>
      </w:pPr>
      <w:r>
        <w:t>constraint and authority violations;</w:t>
      </w:r>
    </w:p>
    <w:p>
      <w:pPr>
        <w:pStyle w:val="ListBullet"/>
      </w:pPr>
      <w:r>
        <w:t>no-progress iterations / repeated semantic loops;</w:t>
      </w:r>
    </w:p>
    <w:p>
      <w:pPr>
        <w:pStyle w:val="ListBullet"/>
      </w:pPr>
      <w:r>
        <w:t>evidence completeness;</w:t>
      </w:r>
    </w:p>
    <w:p>
      <w:pPr>
        <w:pStyle w:val="ListBullet"/>
      </w:pPr>
      <w:r>
        <w:t>correct escalation rate;</w:t>
      </w:r>
    </w:p>
    <w:p>
      <w:pPr>
        <w:pStyle w:val="ListBullet"/>
      </w:pPr>
      <w:r>
        <w:t>human intervention required;</w:t>
      </w:r>
    </w:p>
    <w:p>
      <w:pPr>
        <w:pStyle w:val="ListBullet"/>
      </w:pPr>
      <w:r>
        <w:t>end-to-end cost and elapsed execution time.</w:t>
      </w:r>
    </w:p>
    <w:p>
      <w:r>
        <w:t>Only after this body of evidence exists should the programme decide whether the remaining gap belongs primarily to prompting, context engineering, runtime design, model specialization, or deeper model architecture.</w:t>
      </w:r>
    </w:p>
    <w:p>
      <w:pPr>
        <w:pStyle w:val="Heading1"/>
      </w:pPr>
      <w:r>
        <w:t>15. Implications for UnifyOps</w:t>
      </w:r>
    </w:p>
    <w:p>
      <w:r>
        <w:t>The research direction aligns naturally with a platform that already treats intent, authority, execution, evaluation, and evidence as explicit objects. UnifyOps can serve both as the governed operating environment and as the experimental apparatus for studying model behaviour under enterprise constraints.</w:t>
      </w:r>
    </w:p>
    <w:p>
      <w:r>
        <w:t>Potential platform concepts emerging from this paper include:</w:t>
      </w:r>
    </w:p>
    <w:p>
      <w:pPr>
        <w:pStyle w:val="ListBullet"/>
      </w:pPr>
      <w:r>
        <w:t>decision envelopes and minimum sufficient decision context;</w:t>
      </w:r>
    </w:p>
    <w:p>
      <w:pPr>
        <w:pStyle w:val="ListBullet"/>
      </w:pPr>
      <w:r>
        <w:t>explicit progress and knowledge-delta tracking;</w:t>
      </w:r>
    </w:p>
    <w:p>
      <w:pPr>
        <w:pStyle w:val="ListBullet"/>
      </w:pPr>
      <w:r>
        <w:t>first-class stop/escalation outcomes;</w:t>
      </w:r>
    </w:p>
    <w:p>
      <w:pPr>
        <w:pStyle w:val="ListBullet"/>
      </w:pPr>
      <w:r>
        <w:t>execution-episode capture;</w:t>
      </w:r>
    </w:p>
    <w:p>
      <w:pPr>
        <w:pStyle w:val="ListBullet"/>
      </w:pPr>
      <w:r>
        <w:t>frontier-model failure catalogue;</w:t>
      </w:r>
    </w:p>
    <w:p>
      <w:pPr>
        <w:pStyle w:val="ListBullet"/>
      </w:pPr>
      <w:r>
        <w:t>domain-expert rationale capture;</w:t>
      </w:r>
    </w:p>
    <w:p>
      <w:pPr>
        <w:pStyle w:val="ListBullet"/>
      </w:pPr>
      <w:r>
        <w:t>instruction-pack generation;</w:t>
      </w:r>
    </w:p>
    <w:p>
      <w:pPr>
        <w:pStyle w:val="ListBullet"/>
      </w:pPr>
      <w:r>
        <w:t>model routing based on capability, risk, cost, and infrastructure;</w:t>
      </w:r>
    </w:p>
    <w:p>
      <w:pPr>
        <w:pStyle w:val="ListBullet"/>
      </w:pPr>
      <w:r>
        <w:t>future specialized execution models trained on validated trajectories.</w:t>
      </w:r>
    </w:p>
    <w:p>
      <w:pPr>
        <w:pStyle w:val="Heading1"/>
      </w:pPr>
      <w:r>
        <w:t>16. Limitations and Research Discipline</w:t>
      </w:r>
    </w:p>
    <w:p>
      <w:r>
        <w:t>The observations in this paper originate from practical experience and exploratory discussion, not yet from a controlled empirical study. The proposed mechanisms should therefore be treated as research hypotheses rather than established causal explanations.</w:t>
      </w:r>
    </w:p>
    <w:p>
      <w:r>
        <w:t>A central discipline of the programme is to avoid assuming that every observed model failure requires a new model. Similar symptoms may arise from retrieval, prompt construction, context pressure, agent-loop design, tool feedback, governance, or infrastructure. The purpose of the next phase is to separate these causes.</w:t>
      </w:r>
    </w:p>
    <w:p>
      <w:pPr>
        <w:pStyle w:val="Heading1"/>
      </w:pPr>
      <w:r>
        <w:t>17. Conclusion</w:t>
      </w:r>
    </w:p>
    <w:p>
      <w:r>
        <w:t>The path from token cost to enterprise cognition reveals a broader problem. Frontier models can be remarkably capable and still behave unreliably during long-running enterprise execution because capability is only one ingredient of trustworthy work.</w:t>
      </w:r>
    </w:p>
    <w:p>
      <w:r>
        <w:t>The emerging thesis is that enterprise AI should not be optimized for unconstrained autonomy. It should be designed as delegated, adaptive agency within explicit and revocable authority. The robotics analogy makes the operating principle concrete: a useful enterprise AI should resemble an intelligent controller inside a governed work cell - able to plan, adapt, recover, and learn, but unable to redefine the boundary merely because doing so would make completion easier.</w:t>
      </w:r>
    </w:p>
    <w:p>
      <w:r>
        <w:t>The immediate research goal is therefore problem discovery: preserve the raw learning trajectory, identify recurring failure modes, measure where context and progress degrade, and determine which limitations belong to the model versus the surrounding system. Only then should deeper specialization or architectural innovation be pursued.</w:t>
      </w:r>
    </w:p>
    <w:p>
      <w:pPr>
        <w:jc w:val="center"/>
      </w:pPr>
      <w:r>
        <w:rPr>
          <w:b/>
          <w:sz w:val="24"/>
        </w:rPr>
        <w:t>The objective is not maximum autonomy. The objective is trustworthy progress under delegated authority.</w:t>
      </w:r>
    </w:p>
    <w:p>
      <w:r>
        <w:br w:type="page"/>
      </w:r>
    </w:p>
    <w:p>
      <w:pPr>
        <w:pStyle w:val="Heading1"/>
      </w:pPr>
      <w:r>
        <w:t>Appendix A - Working Research Vocabulary</w:t>
      </w:r>
    </w:p>
    <w:tbl>
      <w:tblPr>
        <w:tblStyle w:val="TableGrid"/>
        <w:tblW w:type="auto" w:w="0"/>
        <w:tblLook w:firstColumn="1" w:firstRow="1" w:lastColumn="0" w:lastRow="0" w:noHBand="0" w:noVBand="1" w:val="04A0"/>
      </w:tblPr>
      <w:tblGrid>
        <w:gridCol w:w="4968"/>
        <w:gridCol w:w="4968"/>
      </w:tblGrid>
      <w:tr>
        <w:tc>
          <w:tcPr>
            <w:tcW w:type="dxa" w:w="4968"/>
          </w:tcPr>
          <w:p>
            <w:r>
              <w:t>Term</w:t>
            </w:r>
          </w:p>
        </w:tc>
        <w:tc>
          <w:tcPr>
            <w:tcW w:type="dxa" w:w="4968"/>
          </w:tcPr>
          <w:p>
            <w:r>
              <w:t>Working Definition</w:t>
            </w:r>
          </w:p>
        </w:tc>
      </w:tr>
      <w:tr>
        <w:tc>
          <w:tcPr>
            <w:tcW w:type="dxa" w:w="4968"/>
          </w:tcPr>
          <w:p>
            <w:r>
              <w:t>Decision Salience</w:t>
            </w:r>
          </w:p>
        </w:tc>
        <w:tc>
          <w:tcPr>
            <w:tcW w:type="dxa" w:w="4968"/>
          </w:tcPr>
          <w:p>
            <w:r>
              <w:t>How strongly decision-relevant information influences the action selected at a specific moment.</w:t>
            </w:r>
          </w:p>
        </w:tc>
      </w:tr>
      <w:tr>
        <w:tc>
          <w:tcPr>
            <w:tcW w:type="dxa" w:w="4968"/>
          </w:tcPr>
          <w:p>
            <w:r>
              <w:t>Minimum Sufficient Decision Context</w:t>
            </w:r>
          </w:p>
        </w:tc>
        <w:tc>
          <w:tcPr>
            <w:tcW w:type="dxa" w:w="4968"/>
          </w:tcPr>
          <w:p>
            <w:r>
              <w:t>The smallest context needed to make a reliable judgement for the current decision.</w:t>
            </w:r>
          </w:p>
        </w:tc>
      </w:tr>
      <w:tr>
        <w:tc>
          <w:tcPr>
            <w:tcW w:type="dxa" w:w="4968"/>
          </w:tcPr>
          <w:p>
            <w:r>
              <w:t>Decision Envelope</w:t>
            </w:r>
          </w:p>
        </w:tc>
        <w:tc>
          <w:tcPr>
            <w:tcW w:type="dxa" w:w="4968"/>
          </w:tcPr>
          <w:p>
            <w:r>
              <w:t>A task-specific package of objective, state, constraints, rationale, authority, precedents, evidence requirements, and escalation conditions.</w:t>
            </w:r>
          </w:p>
        </w:tc>
      </w:tr>
      <w:tr>
        <w:tc>
          <w:tcPr>
            <w:tcW w:type="dxa" w:w="4968"/>
          </w:tcPr>
          <w:p>
            <w:r>
              <w:t>Execution Episode</w:t>
            </w:r>
          </w:p>
        </w:tc>
        <w:tc>
          <w:tcPr>
            <w:tcW w:type="dxa" w:w="4968"/>
          </w:tcPr>
          <w:p>
            <w:r>
              <w:t>A complete record of a task trajectory from intent through attempts, evidence, correction, and outcome.</w:t>
            </w:r>
          </w:p>
        </w:tc>
      </w:tr>
      <w:tr>
        <w:tc>
          <w:tcPr>
            <w:tcW w:type="dxa" w:w="4968"/>
          </w:tcPr>
          <w:p>
            <w:r>
              <w:t>Task-Completion Bias</w:t>
            </w:r>
          </w:p>
        </w:tc>
        <w:tc>
          <w:tcPr>
            <w:tcW w:type="dxa" w:w="4968"/>
          </w:tcPr>
          <w:p>
            <w:r>
              <w:t>The tendency to continue producing solutions even when stop, defer, or escalate would be the correct governed outcome.</w:t>
            </w:r>
          </w:p>
        </w:tc>
      </w:tr>
      <w:tr>
        <w:tc>
          <w:tcPr>
            <w:tcW w:type="dxa" w:w="4968"/>
          </w:tcPr>
          <w:p>
            <w:r>
              <w:t>Delegated Agency</w:t>
            </w:r>
          </w:p>
        </w:tc>
        <w:tc>
          <w:tcPr>
            <w:tcW w:type="dxa" w:w="4968"/>
          </w:tcPr>
          <w:p>
            <w:r>
              <w:t>Independent execution of an approved objective within explicit, bounded, observable, and revocable authority.</w:t>
            </w:r>
          </w:p>
        </w:tc>
      </w:tr>
      <w:tr>
        <w:tc>
          <w:tcPr>
            <w:tcW w:type="dxa" w:w="4968"/>
          </w:tcPr>
          <w:p>
            <w:r>
              <w:t>Enterprise Work Cell</w:t>
            </w:r>
          </w:p>
        </w:tc>
        <w:tc>
          <w:tcPr>
            <w:tcW w:type="dxa" w:w="4968"/>
          </w:tcPr>
          <w:p>
            <w:r>
              <w:t>The logical boundary of repositories, tools, APIs, data, budgets, policies, and approvals within which an AI may operate.</w:t>
            </w:r>
          </w:p>
        </w:tc>
      </w:tr>
      <w:tr>
        <w:tc>
          <w:tcPr>
            <w:tcW w:type="dxa" w:w="4968"/>
          </w:tcPr>
          <w:p>
            <w:r>
              <w:t>Institutional Learning</w:t>
            </w:r>
          </w:p>
        </w:tc>
        <w:tc>
          <w:tcPr>
            <w:tcW w:type="dxa" w:w="4968"/>
          </w:tcPr>
          <w:p>
            <w:r>
              <w:t>Accumulated organizational knowledge that includes both canonical decisions and the historical reasoning that produced them.</w:t>
            </w:r>
          </w:p>
        </w:tc>
      </w:tr>
    </w:tbl>
    <w:p>
      <w:pPr>
        <w:pStyle w:val="Heading1"/>
      </w:pPr>
      <w:r>
        <w:t>Appendix B - Research Phase 0</w:t>
      </w:r>
    </w:p>
    <w:p>
      <w:r>
        <w:t>Problem Discovery and Failure Characterisation</w:t>
      </w:r>
    </w:p>
    <w:p>
      <w:pPr>
        <w:pStyle w:val="ListNumber"/>
      </w:pPr>
      <w:r>
        <w:t>Collect real frontier-model failure episodes.</w:t>
      </w:r>
    </w:p>
    <w:p>
      <w:pPr>
        <w:pStyle w:val="ListNumber"/>
      </w:pPr>
      <w:r>
        <w:t>Capture successful counterexamples for comparable tasks.</w:t>
      </w:r>
    </w:p>
    <w:p>
      <w:pPr>
        <w:pStyle w:val="ListNumber"/>
      </w:pPr>
      <w:r>
        <w:t>Preserve raw trajectories rather than only final outputs.</w:t>
      </w:r>
    </w:p>
    <w:p>
      <w:pPr>
        <w:pStyle w:val="ListNumber"/>
      </w:pPr>
      <w:r>
        <w:t>Classify candidate causes without prematurely assigning root cause.</w:t>
      </w:r>
    </w:p>
    <w:p>
      <w:pPr>
        <w:pStyle w:val="ListNumber"/>
      </w:pPr>
      <w:r>
        <w:t>Create repeatable experiments.</w:t>
      </w:r>
    </w:p>
    <w:p>
      <w:pPr>
        <w:pStyle w:val="ListNumber"/>
      </w:pPr>
      <w:r>
        <w:t>Measure context, progress, corrections, governance outcomes, and cost.</w:t>
      </w:r>
    </w:p>
    <w:p>
      <w:pPr>
        <w:pStyle w:val="ListNumber"/>
      </w:pPr>
      <w:r>
        <w:t>Promote only validated findings into canonical design principles.</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UnifyOps Research Working Paper 001 - v0.1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